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  <w:t>Gentile collega,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  <w:t xml:space="preserve">si comunica che, </w:t>
      </w:r>
      <w:r>
        <w:rPr>
          <w:rFonts w:eastAsia="Source Sans Pro" w:cs="Calibri" w:cstheme="majorHAnsi"/>
          <w:b/>
          <w:color w:val="auto"/>
          <w:sz w:val="24"/>
          <w:szCs w:val="24"/>
          <w:u w:val="single"/>
        </w:rPr>
        <w:t>a partire dal 10 marzo 2021</w:t>
      </w:r>
      <w:r>
        <w:rPr>
          <w:rFonts w:eastAsia="Source Sans Pro" w:cs="Calibri" w:cstheme="majorHAnsi"/>
          <w:b/>
          <w:color w:val="auto"/>
          <w:sz w:val="24"/>
          <w:szCs w:val="24"/>
        </w:rPr>
        <w:t>,</w:t>
      </w:r>
      <w:r>
        <w:rPr>
          <w:rFonts w:eastAsia="Source Sans Pro" w:cs="Calibri" w:cstheme="majorHAnsi"/>
          <w:color w:val="auto"/>
          <w:sz w:val="24"/>
          <w:szCs w:val="24"/>
        </w:rPr>
        <w:t xml:space="preserve"> avrà inizio il corso di formazione </w:t>
      </w:r>
      <w:r>
        <w:rPr>
          <w:rFonts w:eastAsia="Source Sans Pro" w:cs="Calibri" w:cstheme="majorHAnsi"/>
          <w:b/>
          <w:color w:val="auto"/>
          <w:sz w:val="24"/>
          <w:szCs w:val="24"/>
          <w:u w:val="single"/>
        </w:rPr>
        <w:t>obbligatorio</w:t>
      </w:r>
      <w:r>
        <w:rPr>
          <w:rFonts w:eastAsia="Source Sans Pro" w:cs="Calibri" w:cstheme="majorHAnsi"/>
          <w:color w:val="auto"/>
          <w:sz w:val="24"/>
          <w:szCs w:val="24"/>
          <w:u w:val="single"/>
        </w:rPr>
        <w:t xml:space="preserve"> </w:t>
      </w:r>
      <w:r>
        <w:rPr>
          <w:rFonts w:eastAsia="Source Sans Pro" w:cs="Calibri" w:cstheme="majorHAnsi"/>
          <w:color w:val="auto"/>
          <w:sz w:val="24"/>
          <w:szCs w:val="24"/>
        </w:rPr>
        <w:t>in tema di sicurezza e salute sul lavoro, in modalità blended-learning, destinato a tutto il personale tecnico dell’Università di Cagliari.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  <w:t xml:space="preserve">Per i lavoratori </w:t>
      </w:r>
      <w:r>
        <w:rPr>
          <w:rFonts w:eastAsia="Source Sans Pro" w:cs="Calibri" w:cstheme="majorHAnsi"/>
          <w:b/>
          <w:bCs/>
          <w:sz w:val="24"/>
          <w:szCs w:val="24"/>
        </w:rPr>
        <w:t>a rischio MEDIO, categoria di cui fai parte,</w:t>
      </w:r>
      <w:r>
        <w:rPr>
          <w:rFonts w:eastAsia="Source Sans Pro" w:cs="Calibri" w:cstheme="majorHAnsi"/>
          <w:sz w:val="24"/>
          <w:szCs w:val="24"/>
        </w:rPr>
        <w:t xml:space="preserve"> il corso si suddivide in due parti distinte: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b/>
          <w:bCs/>
          <w:sz w:val="24"/>
          <w:szCs w:val="24"/>
        </w:rPr>
        <w:t>formazione generale</w:t>
      </w:r>
      <w:r>
        <w:rPr>
          <w:rFonts w:eastAsia="Source Sans Pro" w:cs="Calibri" w:cstheme="majorHAnsi"/>
          <w:sz w:val="24"/>
          <w:szCs w:val="24"/>
        </w:rPr>
        <w:t xml:space="preserve"> (4 ore) in modalità e-learning asincrona con verifiche in itinere e rilascio di attestato a seguito della verifica dell’apprendimento. Questa parte di formazione costituisce credito formativo permanente per ciascun lavoratore e non dovrà essere ripetuta in caso di cambio attività o di trasferimento. </w:t>
      </w:r>
      <w:r>
        <w:rPr>
          <w:rFonts w:eastAsia="Source Sans Pro" w:cs="Calibri" w:cstheme="majorHAnsi"/>
          <w:color w:val="auto"/>
          <w:sz w:val="24"/>
          <w:szCs w:val="24"/>
        </w:rPr>
        <w:t xml:space="preserve">Una volta completata la formazione generale si dovrà attendere la convocazione da parte del Settore Formazione per il completamento della parte specifica.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b/>
          <w:bCs/>
          <w:color w:val="auto"/>
          <w:sz w:val="24"/>
          <w:szCs w:val="24"/>
        </w:rPr>
        <w:t>formazione specifica</w:t>
      </w:r>
      <w:r>
        <w:rPr>
          <w:rFonts w:eastAsia="Source Sans Pro" w:cs="Calibri" w:cstheme="majorHAnsi"/>
          <w:color w:val="auto"/>
          <w:sz w:val="24"/>
          <w:szCs w:val="24"/>
        </w:rPr>
        <w:t xml:space="preserve"> (8 ore) da </w:t>
      </w:r>
      <w:r>
        <w:rPr>
          <w:rFonts w:eastAsia="Source Sans Pro" w:cs="Calibri" w:cstheme="majorHAnsi"/>
          <w:b/>
          <w:bCs/>
          <w:color w:val="auto"/>
          <w:sz w:val="24"/>
          <w:szCs w:val="24"/>
        </w:rPr>
        <w:t>svolgersi in presenza</w:t>
      </w:r>
      <w:r>
        <w:rPr>
          <w:rFonts w:eastAsia="Source Sans Pro" w:cs="Calibri" w:cstheme="majorHAnsi"/>
          <w:color w:val="auto"/>
          <w:sz w:val="24"/>
          <w:szCs w:val="24"/>
        </w:rPr>
        <w:t xml:space="preserve"> </w:t>
      </w:r>
      <w:r>
        <w:rPr>
          <w:rFonts w:eastAsia="Source Sans Pro" w:cs="Calibri" w:cstheme="majorHAnsi"/>
          <w:b/>
          <w:bCs/>
          <w:color w:val="auto"/>
          <w:sz w:val="24"/>
          <w:szCs w:val="24"/>
        </w:rPr>
        <w:t>o</w:t>
      </w:r>
      <w:r>
        <w:rPr>
          <w:rFonts w:eastAsia="Source Sans Pro" w:cs="Calibri" w:cstheme="majorHAnsi"/>
          <w:color w:val="auto"/>
          <w:sz w:val="24"/>
          <w:szCs w:val="24"/>
        </w:rPr>
        <w:t xml:space="preserve">, fino al perdurare dello stato di emergenza, </w:t>
      </w:r>
      <w:r>
        <w:rPr>
          <w:rFonts w:eastAsia="Source Sans Pro" w:cs="Calibri" w:cstheme="majorHAnsi"/>
          <w:b/>
          <w:bCs/>
          <w:color w:val="auto"/>
          <w:sz w:val="24"/>
          <w:szCs w:val="24"/>
        </w:rPr>
        <w:t>in videoconferenza in diretta</w:t>
      </w:r>
      <w:r>
        <w:rPr>
          <w:rFonts w:eastAsia="Source Sans Pro" w:cs="Calibri" w:cstheme="majorHAnsi"/>
          <w:color w:val="auto"/>
          <w:sz w:val="24"/>
          <w:szCs w:val="24"/>
        </w:rPr>
        <w:t>, con modalità che saranno comunicate ai partecipanti a conclusione della parte di formazione generale. Questa seconda parte di formazione prevede la partecipazione di gruppi omogenei di lavoratori e avrà inizio non appena la maggior parte del personale a rischio medio avrà completato la formazione generale.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eastAsia="Source Sans Pro" w:cs="Calibri" w:asciiTheme="majorHAnsi" w:cstheme="majorHAnsi" w:hAnsiTheme="majorHAnsi"/>
          <w:color w:val="002060"/>
          <w:sz w:val="24"/>
          <w:szCs w:val="24"/>
        </w:rPr>
      </w:pPr>
      <w:r>
        <w:rPr>
          <w:rFonts w:eastAsia="Source Sans Pro" w:cs="Calibri" w:cstheme="majorHAnsi"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sz w:val="24"/>
          <w:szCs w:val="24"/>
        </w:rPr>
      </w:pPr>
      <w:r>
        <w:rPr>
          <w:rFonts w:eastAsia="Source Sans Pro" w:cs="Calibri" w:cstheme="majorHAnsi"/>
          <w:b/>
          <w:sz w:val="24"/>
          <w:szCs w:val="24"/>
        </w:rPr>
        <w:t xml:space="preserve">Si ricorda che la partecipazione al corso sulla sicurezza è obbligatoria ai sensi dell’art. 20 comma 2 lett. h) del D. Lgs 81/2008 e s.m.i. e pertanto dovrà svolgersi in orario di servizio.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sz w:val="24"/>
          <w:szCs w:val="24"/>
        </w:rPr>
      </w:pPr>
      <w:r>
        <w:rPr>
          <w:rFonts w:eastAsia="Source Sans Pro" w:cs="Calibri" w:cstheme="maj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sz w:val="24"/>
          <w:szCs w:val="24"/>
        </w:rPr>
      </w:pPr>
      <w:r>
        <w:rPr>
          <w:rFonts w:eastAsia="Source Sans Pro" w:cs="Calibri" w:cstheme="majorHAnsi"/>
          <w:b/>
          <w:color w:val="C00000"/>
          <w:sz w:val="24"/>
          <w:szCs w:val="24"/>
          <w:highlight w:val="yellow"/>
        </w:rPr>
        <w:t xml:space="preserve">Il link le e credenziali di accesso alla formazione generale saranno inviate da AIFOS 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color w:val="C00000"/>
          <w:sz w:val="24"/>
          <w:szCs w:val="24"/>
          <w:highlight w:val="yellow"/>
        </w:rPr>
      </w:pPr>
      <w:r>
        <w:rPr>
          <w:rFonts w:eastAsia="Source Sans Pro" w:cs="Calibri" w:cstheme="majorHAnsi"/>
          <w:b/>
          <w:color w:val="C00000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color w:val="C00000"/>
          <w:sz w:val="24"/>
          <w:szCs w:val="24"/>
          <w:highlight w:val="yellow"/>
        </w:rPr>
      </w:pPr>
      <w:r>
        <w:rPr>
          <w:rFonts w:eastAsia="Source Sans Pro" w:cs="Calibri" w:cstheme="majorHAnsi"/>
          <w:b/>
          <w:color w:val="C00000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color w:val="auto"/>
          <w:sz w:val="24"/>
          <w:szCs w:val="24"/>
        </w:rPr>
      </w:pPr>
      <w:r>
        <w:rPr>
          <w:rFonts w:eastAsia="Source Sans Pro" w:cs="Calibri" w:cstheme="majorHAnsi"/>
          <w:b/>
          <w:color w:val="auto"/>
          <w:sz w:val="24"/>
          <w:szCs w:val="24"/>
          <w:u w:val="single"/>
        </w:rPr>
        <w:t>Si raccomanda di completare la formazione generale quanto prima possibile ed in ogni caso entro e non oltre il 30 giugno 2021</w:t>
      </w:r>
      <w:bookmarkStart w:id="0" w:name="_Hlk59009146"/>
      <w:bookmarkEnd w:id="0"/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sz w:val="24"/>
          <w:szCs w:val="24"/>
        </w:rPr>
      </w:pPr>
      <w:r>
        <w:rPr>
          <w:rFonts w:eastAsia="Source Sans Pro" w:cs="Calibri" w:cstheme="maj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  <w:t>Non è necessario trasmettere al Settore Formazione l’autorizzazione del proprio Responsabile in quanto l’attività è autorizzata per tutti i dipendenti.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  <w:t>Per la parte di formazione generale dovrà però essere cura di ciascun partecipante concordare la frequenza con il proprio Responsabile di struttura al fine di non creare disservizi.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Cs/>
          <w:color w:val="auto"/>
          <w:sz w:val="24"/>
          <w:szCs w:val="24"/>
        </w:rPr>
      </w:pPr>
      <w:r>
        <w:rPr>
          <w:rFonts w:eastAsia="Source Sans Pro" w:cs="Calibri" w:cstheme="majorHAnsi"/>
          <w:bCs/>
          <w:color w:val="auto"/>
          <w:sz w:val="24"/>
          <w:szCs w:val="24"/>
        </w:rPr>
        <w:t>Tutte le informazioni sono reperibili anche al seguente link: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hyperlink r:id="rId2">
        <w:r>
          <w:rPr>
            <w:rStyle w:val="CollegamentoInternet"/>
            <w:b/>
            <w:bCs/>
          </w:rPr>
          <w:t>https://www.unica.it/unica/it/corsi_obb_sic_lrmedio.page</w:t>
        </w:r>
      </w:hyperlink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color w:val="C00000"/>
          <w:sz w:val="24"/>
          <w:szCs w:val="24"/>
          <w:highlight w:val="yellow"/>
        </w:rPr>
      </w:pPr>
      <w:r>
        <w:rPr>
          <w:rFonts w:eastAsia="Source Sans Pro" w:cs="Calibri" w:cstheme="majorHAnsi"/>
          <w:b/>
          <w:color w:val="C00000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i/>
          <w:i/>
          <w:iCs/>
          <w:sz w:val="20"/>
          <w:szCs w:val="20"/>
        </w:rPr>
      </w:pPr>
      <w:r>
        <w:rPr>
          <w:rFonts w:eastAsia="Source Sans Pro" w:cs="Calibri" w:cstheme="majorHAnsi"/>
          <w:i/>
          <w:iCs/>
          <w:sz w:val="20"/>
          <w:szCs w:val="20"/>
        </w:rPr>
        <w:t>L'Università degli Studi di Cagliari è titolare del trattamento dei dati personali ai sensi delle norme del regolamento (UE) 2016/679 del Parlamento europeo e del Consiglio, del 27 aprile 2016, e del Codice in materia di protezione dei dati personali D.Lgs. 196/2003, nel rispetto della dignità umana, dei diritti e delle libertà fondamentali della persona. L’informativa sul trattamento dati per la categoria di interessato “Dipendenti” è pubblicata sul sito https://www.unica.it/unica/it/utility_privacy.page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43d"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ef3c3c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b6e7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b6e76"/>
    <w:rPr/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ba41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36d38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b6e76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b6e76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e791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nica.it/unica/it/corsi_obb_sic_lrmedio.page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2</Pages>
  <Words>388</Words>
  <Characters>2258</Characters>
  <CharactersWithSpaces>2636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2020-12-16T09:00:00Z</dcterms:created>
  <dc:creator/>
  <dc:description/>
  <dc:language>it-IT</dc:language>
  <cp:lastModifiedBy/>
  <dcterms:modified xsi:type="dcterms:W3CDTF">2021-03-09T12:48:00Z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