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120"/>
        <w:jc w:val="center"/>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LIBERATORIA STUDENTI/STUDENTESSE IN MOBILITÀ INTERNAZIONALE</w:t>
      </w:r>
    </w:p>
    <w:p>
      <w:pPr>
        <w:pStyle w:val="Normal"/>
        <w:spacing w:lineRule="auto" w:line="240" w:before="120" w:after="12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Il/La sottoscritto/a ...........................................................................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Matricola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Codice fiscale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Iscritto/a al Corso di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Con riferimento all’avvio della </w:t>
      </w:r>
      <w:r>
        <w:rPr>
          <w:rFonts w:cs="Calibri" w:ascii="Calibri" w:hAnsi="Calibri" w:asciiTheme="minorHAnsi" w:cstheme="minorHAnsi" w:hAnsiTheme="minorHAnsi"/>
          <w:b/>
          <w:sz w:val="24"/>
          <w:szCs w:val="24"/>
        </w:rPr>
        <w:t>mobilità internazionale</w:t>
      </w:r>
      <w:r>
        <w:rPr>
          <w:rFonts w:cs="Calibri" w:ascii="Calibri" w:hAnsi="Calibri" w:asciiTheme="minorHAnsi" w:cstheme="minorHAnsi" w:hAnsiTheme="minorHAnsi"/>
          <w:sz w:val="24"/>
          <w:szCs w:val="24"/>
        </w:rPr>
        <w:t xml:space="preserve"> per: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Erasmus+ Studio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Erasmus+ Traineeship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Tesi e/o tirocinio all’estero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Mobilità Extra-Ue</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Titoli doppi/congiunti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Scambi su base di accordi inter-ateneo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Altre forme di mobilità strutturata  </w:t>
      </w:r>
    </w:p>
    <w:p>
      <w:pPr>
        <w:pStyle w:val="Normal"/>
        <w:spacing w:lineRule="auto" w:line="240" w:before="120" w:after="120"/>
        <w:ind w:left="567"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u w:val="single"/>
        </w:rPr>
        <w:t>Dichiara sotto la propria responsabilità</w:t>
      </w:r>
      <w:r>
        <w:rPr>
          <w:rFonts w:cs="Calibri" w:ascii="Calibri" w:hAnsi="Calibri" w:asciiTheme="minorHAnsi" w:cstheme="minorHAnsi" w:hAnsiTheme="minorHAnsi"/>
          <w:sz w:val="24"/>
          <w:szCs w:val="24"/>
        </w:rPr>
        <w:t>:</w:t>
      </w:r>
    </w:p>
    <w:p>
      <w:pPr>
        <w:pStyle w:val="Normal"/>
        <w:spacing w:lineRule="auto" w:line="240" w:before="120" w:after="12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attuare la suddetta mobilità per </w:t>
      </w:r>
      <w:r>
        <w:rPr>
          <w:rFonts w:cs="Calibri" w:ascii="Calibri" w:hAnsi="Calibri" w:asciiTheme="minorHAnsi" w:cstheme="minorHAnsi" w:hAnsiTheme="minorHAnsi"/>
          <w:iCs/>
          <w:sz w:val="24"/>
          <w:szCs w:val="24"/>
        </w:rPr>
        <w:t>motivate esigenze formative</w:t>
      </w:r>
      <w:r>
        <w:rPr>
          <w:rFonts w:cs="Calibri" w:ascii="Calibri" w:hAnsi="Calibri" w:asciiTheme="minorHAnsi" w:cstheme="minorHAnsi" w:hAnsiTheme="minorHAnsi"/>
          <w:sz w:val="24"/>
          <w:szCs w:val="24"/>
        </w:rPr>
        <w:t>;</w:t>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 essere consapevole e di assumersi gli eventuali rischi legati alla diffusione del contagio da SARS-CoV-2 durante lo svolgimento dell’attività all’estero anche nel caso di</w:t>
      </w:r>
      <w:r>
        <w:rPr>
          <w:rFonts w:eastAsia="" w:cs="Calibri" w:ascii="Calibri" w:hAnsi="Calibri" w:asciiTheme="minorHAnsi" w:cstheme="minorHAnsi" w:eastAsiaTheme="minorEastAsia" w:hAnsiTheme="minorHAnsi"/>
          <w:sz w:val="24"/>
          <w:szCs w:val="24"/>
        </w:rPr>
        <w:t xml:space="preserve"> un eventuale peggioramento della situazione epidemiologica (a titolo esemplificativo: lockdown, quarantena, limitazioni delle condizioni di trasporto, limitazioni di accesso alle strutture dell'Università/Ente ospitante</w:t>
      </w:r>
      <w:r>
        <w:rPr>
          <w:rFonts w:cs="Calibri" w:ascii="Calibri" w:hAnsi="Calibri" w:asciiTheme="minorHAnsi" w:cstheme="minorHAnsi" w:hAnsiTheme="minorHAnsi"/>
          <w:sz w:val="24"/>
          <w:szCs w:val="24"/>
        </w:rPr>
        <w:t xml:space="preserve"> ed eventuale ottenimento del visto qualora richiesto dal Paese di destinazione);</w:t>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 essere consapevole che la mobilità è comunque subordinata all’accettazione da parte dell’Istituto Partner e che l’accettazione o le condizioni potrebbero subire modifiche in considerazione dell’evolversi della situazione emergenziale;</w:t>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 aver verificato i vigenti regolamenti e i protocolli di sicurezza dell’Ente ospitante e del Paese ospitante, con particolare riferimento alla eventuale suddivisione interna in specifiche zone di rischio epidemiologico, sollevando così l’Università degli Studi di Cagliari da ogni responsabilità per le conseguenze di un eventuale contagio da SARS-CoV-2;</w:t>
      </w:r>
    </w:p>
    <w:p>
      <w:pPr>
        <w:pStyle w:val="ListParagraph"/>
        <w:widowControl w:val="false"/>
        <w:numPr>
          <w:ilvl w:val="0"/>
          <w:numId w:val="1"/>
        </w:numPr>
        <w:spacing w:lineRule="auto" w:line="240" w:before="120" w:after="120"/>
        <w:ind w:left="714" w:hanging="357"/>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essere consapevole che non sono previsti rimborsi e quindi </w:t>
      </w:r>
      <w:r>
        <w:rPr>
          <w:rFonts w:eastAsia="" w:cs="Calibri" w:ascii="Calibri" w:hAnsi="Calibri" w:asciiTheme="minorHAnsi" w:cstheme="minorHAnsi" w:eastAsiaTheme="minorEastAsia" w:hAnsiTheme="minorHAnsi"/>
          <w:sz w:val="24"/>
          <w:szCs w:val="24"/>
        </w:rPr>
        <w:t xml:space="preserve">di assumersi i costi aggiuntivi sostenuti in conseguenza di un eventuale peggioramento della situazione epidemiologica e delle conseguenti misure sanitarie adottate, anche senza preavviso, da parte delle Autorità competenti italiane o dei Paesi di destinazione e/o dai vettori di trasporto (compagnie aeree, ferrovie, mezzi pubblici urbani ed extra-urbani) e </w:t>
      </w:r>
      <w:r>
        <w:rPr>
          <w:rFonts w:cs="Calibri" w:ascii="Calibri" w:hAnsi="Calibri" w:asciiTheme="minorHAnsi" w:cstheme="minorHAnsi" w:hAnsiTheme="minorHAnsi"/>
          <w:sz w:val="24"/>
          <w:szCs w:val="24"/>
        </w:rPr>
        <w:t>di sollevare quindi l’Università di Cagliari da ogni spesa non prevista dalla copertura sanitaria di cui alla successiva lettera k) (danno biologico, danni permanenti da Covid-19, viaggio dei familiari in caso di emergenza, rimpatrio</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ecc.);</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tenersi costantemente aggiornato/a e di osservare le norme per la prevenzione e la gestione della situazione di emergenza da Covid-19 e, in particolare, di aver preso visione e di accettare e di seguire scrupolosamente le disposizioni previste dall’Istituzione partner del Paese di destinazione per chi arriva dall’Italia (o dal Paese di domicilio attuale), nonché, per chi rientra in Italia dal Paese ospitante, le disposizioni vigenti (quali eventuali quarantena, restrizioni e altre specifiche misure sanitarie), come riportato sul portale </w:t>
      </w:r>
      <w:hyperlink r:id="rId2">
        <w:r>
          <w:rPr>
            <w:rStyle w:val="CollegamentoInternet"/>
            <w:rFonts w:eastAsia="Arial" w:cs="Calibri" w:ascii="Calibri" w:hAnsi="Calibri" w:asciiTheme="minorHAnsi" w:cstheme="minorHAnsi" w:hAnsiTheme="minorHAnsi"/>
            <w:sz w:val="24"/>
            <w:szCs w:val="24"/>
          </w:rPr>
          <w:t>http://www.viaggiaresicuri.it/</w:t>
        </w:r>
      </w:hyperlink>
      <w:r>
        <w:rPr>
          <w:rFonts w:cs="Calibri" w:ascii="Calibri" w:hAnsi="Calibri" w:asciiTheme="minorHAnsi" w:cstheme="minorHAnsi" w:hAnsiTheme="minorHAnsi"/>
          <w:sz w:val="24"/>
          <w:szCs w:val="24"/>
        </w:rPr>
        <w:t>;</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registrato il proprio viaggio sul portale del Ministero degli Affari Esteri e della Cooperazione Internazionale: </w:t>
      </w:r>
      <w:hyperlink r:id="rId3">
        <w:r>
          <w:rPr>
            <w:rStyle w:val="CollegamentoInternet"/>
            <w:rFonts w:eastAsia="Arial" w:cs="Calibri" w:ascii="Calibri" w:hAnsi="Calibri" w:asciiTheme="minorHAnsi" w:cstheme="minorHAnsi" w:hAnsiTheme="minorHAnsi"/>
            <w:sz w:val="24"/>
            <w:szCs w:val="24"/>
          </w:rPr>
          <w:t>https://www.dovesiamonelmondo.it/home.html</w:t>
        </w:r>
      </w:hyperlink>
      <w:r>
        <w:rPr>
          <w:rFonts w:cs="Calibri" w:ascii="Calibri" w:hAnsi="Calibri" w:asciiTheme="minorHAnsi" w:cstheme="minorHAnsi" w:hAnsiTheme="minorHAnsi"/>
          <w:sz w:val="24"/>
          <w:szCs w:val="24"/>
        </w:rPr>
        <w:t xml:space="preserve"> e </w:t>
      </w:r>
      <w:r>
        <w:rPr>
          <w:rFonts w:cs="Calibri" w:ascii="Calibri" w:hAnsi="Calibri" w:asciiTheme="minorHAnsi" w:cstheme="minorHAnsi" w:hAnsiTheme="minorHAnsi"/>
          <w:color w:val="000000"/>
          <w:sz w:val="24"/>
          <w:szCs w:val="24"/>
        </w:rPr>
        <w:t>di impegnarsi a</w:t>
      </w:r>
      <w:r>
        <w:rPr>
          <w:rFonts w:cs="Calibri" w:ascii="Calibri" w:hAnsi="Calibri" w:asciiTheme="minorHAnsi" w:cstheme="minorHAnsi" w:hAnsiTheme="minorHAnsi"/>
          <w:sz w:val="24"/>
          <w:szCs w:val="24"/>
        </w:rPr>
        <w:t xml:space="preserve"> comunicare alle rappresentanze diplomatico-consolari la propria presenza, durata e motivo del soggiorno e indirizzo all’estero;</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preso visione e di accettare le condizioni di erogazione dei servizi presso l’Università/Ente di destinazione, quali le modalità di svolgimento della didattica on-line, l’eventuale mancato accesso ai servizi di base come alloggi universitari e </w:t>
      </w:r>
      <w:r>
        <w:rPr>
          <w:rFonts w:cs="Calibri" w:ascii="Calibri" w:hAnsi="Calibri" w:asciiTheme="minorHAnsi" w:cstheme="minorHAnsi" w:hAnsiTheme="minorHAnsi"/>
          <w:color w:val="000000"/>
          <w:sz w:val="24"/>
          <w:szCs w:val="24"/>
        </w:rPr>
        <w:t xml:space="preserve">mense, </w:t>
      </w:r>
      <w:r>
        <w:rPr>
          <w:rFonts w:cs="Calibri" w:ascii="Calibri" w:hAnsi="Calibri" w:asciiTheme="minorHAnsi" w:cstheme="minorHAnsi" w:hAnsiTheme="minorHAnsi"/>
          <w:sz w:val="24"/>
          <w:szCs w:val="24"/>
        </w:rPr>
        <w:t>eventuale obbligo di stipula di coperture assicurative integrative e di vaccinazione anti Covid-19 (per studenti di Medicina e Chirurgia e Professioni sanitarie);</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preso atto che la vaccinazione anti Covid-19 permette di ridurre i rischi di contagio; </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informarsi tempestivamente, possibilmente prima della partenza, sulle procedure sanitarie in vigore nell’Ente ospitante, con particolare riferimento all’emergenza da contagio da SARS-CoV-2; </w:t>
      </w:r>
    </w:p>
    <w:p>
      <w:pPr>
        <w:pStyle w:val="ListParagraph"/>
        <w:widowControl w:val="false"/>
        <w:numPr>
          <w:ilvl w:val="0"/>
          <w:numId w:val="1"/>
        </w:numPr>
        <w:tabs>
          <w:tab w:val="clear" w:pos="720"/>
          <w:tab w:val="left" w:pos="934" w:leader="none"/>
        </w:tabs>
        <w:spacing w:lineRule="auto" w:line="240" w:before="120" w:after="120"/>
        <w:ind w:left="720" w:right="175" w:hanging="360"/>
        <w:contextualSpacing w:val="false"/>
        <w:jc w:val="both"/>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di aver preso visione dell’informativa sull’assistenza sanitaria all’estero per titolari di Tessera Europea Assicurazione Malattia (</w:t>
      </w:r>
      <w:r>
        <w:rPr>
          <w:rFonts w:cs="Calibri" w:ascii="Calibri" w:hAnsi="Calibri" w:asciiTheme="minorHAnsi" w:cstheme="minorHAnsi" w:hAnsiTheme="minorHAnsi"/>
          <w:sz w:val="24"/>
          <w:szCs w:val="24"/>
        </w:rPr>
        <w:t>TEAM</w:t>
      </w:r>
      <w:r>
        <w:rPr>
          <w:rFonts w:cs="Calibri" w:ascii="Calibri" w:hAnsi="Calibri" w:asciiTheme="minorHAnsi" w:cstheme="minorHAnsi" w:hAnsiTheme="minorHAnsi"/>
          <w:color w:val="000000"/>
          <w:sz w:val="24"/>
          <w:szCs w:val="24"/>
        </w:rPr>
        <w:t>)</w:t>
      </w:r>
      <w:r>
        <w:rPr>
          <w:rStyle w:val="Richiamoallanotaapidipagina"/>
          <w:rFonts w:cs="Calibri" w:ascii="Calibri" w:hAnsi="Calibri" w:asciiTheme="minorHAnsi" w:cstheme="minorHAnsi" w:hAnsiTheme="minorHAnsi"/>
          <w:color w:val="000000"/>
          <w:sz w:val="24"/>
          <w:szCs w:val="24"/>
        </w:rPr>
        <w:footnoteReference w:id="2"/>
      </w:r>
      <w:r>
        <w:rPr>
          <w:rFonts w:cs="Calibri" w:ascii="Calibri" w:hAnsi="Calibri" w:asciiTheme="minorHAnsi" w:cstheme="minorHAnsi" w:hAnsiTheme="minorHAnsi"/>
          <w:color w:val="000000"/>
          <w:sz w:val="24"/>
          <w:szCs w:val="24"/>
        </w:rPr>
        <w:t xml:space="preserve"> e </w:t>
      </w:r>
      <w:r>
        <w:rPr>
          <w:rFonts w:cs="Calibri" w:ascii="Calibri" w:hAnsi="Calibri" w:asciiTheme="minorHAnsi" w:cstheme="minorHAnsi" w:hAnsiTheme="minorHAnsi"/>
          <w:sz w:val="24"/>
          <w:szCs w:val="24"/>
        </w:rPr>
        <w:t>di aver provveduto a stipulare una polizza sanitaria ex novo o integrativa per ulteriori coperture e che includa espressamente le spese sanitarie nell’ambito dell’emergenza Covid-19</w:t>
      </w:r>
      <w:r>
        <w:rPr>
          <w:rFonts w:cs="Calibri" w:ascii="Calibri" w:hAnsi="Calibri" w:asciiTheme="minorHAnsi" w:cstheme="minorHAnsi" w:hAnsiTheme="minorHAnsi"/>
          <w:color w:val="000000"/>
          <w:sz w:val="24"/>
          <w:szCs w:val="24"/>
        </w:rPr>
        <w:t>;</w:t>
      </w:r>
    </w:p>
    <w:p>
      <w:pPr>
        <w:pStyle w:val="ListParagraph"/>
        <w:numPr>
          <w:ilvl w:val="0"/>
          <w:numId w:val="1"/>
        </w:numPr>
        <w:spacing w:lineRule="auto" w:line="240" w:before="120" w:after="120"/>
        <w:contextualSpacing/>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provveduto a stipulare un’assicurazione per il viaggio a fronte di cancellazioni o ritardi dovuti all’emergenza Covid-19 </w:t>
      </w:r>
    </w:p>
    <w:p>
      <w:pPr>
        <w:pStyle w:val="Titolo1"/>
        <w:spacing w:before="120" w:after="120"/>
        <w:ind w:left="1854" w:right="1816"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itolo1"/>
        <w:spacing w:before="120" w:after="120"/>
        <w:ind w:left="458" w:right="1816" w:hanging="2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u w:val="single"/>
        </w:rPr>
        <w:t>Allega</w:t>
      </w:r>
      <w:r>
        <w:rPr>
          <w:rFonts w:cs="Calibri" w:ascii="Calibri" w:hAnsi="Calibri" w:asciiTheme="minorHAnsi" w:cstheme="minorHAnsi" w:hAnsiTheme="minorHAnsi"/>
          <w:sz w:val="24"/>
          <w:szCs w:val="24"/>
        </w:rPr>
        <w:t>:</w:t>
      </w:r>
    </w:p>
    <w:p>
      <w:pPr>
        <w:pStyle w:val="Corpodeltesto"/>
        <w:numPr>
          <w:ilvl w:val="0"/>
          <w:numId w:val="2"/>
        </w:numPr>
        <w:spacing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la dichiarazione di accettazione dell’Ente ospitante delle mobilità in ingresso.</w:t>
      </w:r>
    </w:p>
    <w:p>
      <w:pPr>
        <w:pStyle w:val="ListParagraph"/>
        <w:widowControl w:val="false"/>
        <w:spacing w:lineRule="auto" w:line="240" w:before="120" w:after="120"/>
        <w:contextualSpacing w:val="false"/>
        <w:jc w:val="both"/>
        <w:rPr>
          <w:rFonts w:ascii="Calibri" w:hAnsi="Calibri" w:cs="Calibri" w:asciiTheme="minorHAnsi" w:cstheme="minorHAnsi" w:hAnsiTheme="minorHAnsi"/>
          <w:color w:val="000000"/>
          <w:sz w:val="24"/>
          <w:szCs w:val="24"/>
        </w:rPr>
      </w:pPr>
      <w:r>
        <w:rPr>
          <w:rFonts w:cs="Calibri" w:cstheme="minorHAnsi" w:ascii="Calibri" w:hAnsi="Calibri"/>
          <w:color w:val="000000"/>
          <w:sz w:val="24"/>
          <w:szCs w:val="24"/>
        </w:rPr>
      </w:r>
    </w:p>
    <w:p>
      <w:pPr>
        <w:pStyle w:val="ListParagraph"/>
        <w:widowControl w:val="false"/>
        <w:spacing w:lineRule="auto" w:line="240" w:before="120" w:after="120"/>
        <w:contextualSpacing w:val="false"/>
        <w:jc w:val="both"/>
        <w:rPr>
          <w:rFonts w:ascii="Calibri" w:hAnsi="Calibri" w:cs="Calibri" w:asciiTheme="minorHAnsi" w:cstheme="minorHAnsi" w:hAnsiTheme="minorHAnsi"/>
          <w:color w:val="000000"/>
          <w:sz w:val="24"/>
          <w:szCs w:val="24"/>
        </w:rPr>
      </w:pPr>
      <w:r>
        <w:rPr>
          <w:rFonts w:cs="Calibri" w:cstheme="minorHAnsi" w:ascii="Calibri" w:hAnsi="Calibri"/>
          <w:color w:val="000000"/>
          <w:sz w:val="24"/>
          <w:szCs w:val="24"/>
        </w:rPr>
      </w:r>
    </w:p>
    <w:p>
      <w:pPr>
        <w:pStyle w:val="Normal"/>
        <w:spacing w:lineRule="auto" w:line="240" w:before="120" w:after="120"/>
        <w:ind w:left="72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E LUOGO .....................................                                   FIRMA ...............................................</w:t>
      </w:r>
    </w:p>
    <w:p>
      <w:pPr>
        <w:pStyle w:val="Normal"/>
        <w:spacing w:lineRule="auto" w:line="240" w:before="120" w:after="120"/>
        <w:jc w:val="both"/>
        <w:rPr>
          <w:sz w:val="24"/>
          <w:szCs w:val="24"/>
        </w:rPr>
      </w:pPr>
      <w:r>
        <w:rPr>
          <w:sz w:val="24"/>
          <w:szCs w:val="24"/>
        </w:rPr>
      </w:r>
    </w:p>
    <w:p>
      <w:pPr>
        <w:pStyle w:val="Normal"/>
        <w:spacing w:lineRule="auto" w:line="240" w:before="120" w:after="120"/>
        <w:jc w:val="both"/>
        <w:rPr>
          <w:sz w:val="24"/>
          <w:szCs w:val="24"/>
        </w:rPr>
      </w:pPr>
      <w:r>
        <w:rPr>
          <w:sz w:val="24"/>
          <w:szCs w:val="24"/>
        </w:rPr>
      </w:r>
    </w:p>
    <w:p>
      <w:pPr>
        <w:pStyle w:val="Normal"/>
        <w:spacing w:lineRule="auto" w:line="240" w:before="120" w:after="120"/>
        <w:jc w:val="both"/>
        <w:rPr/>
      </w:pPr>
      <w:r>
        <w:rPr/>
        <w:t xml:space="preserve"> </w:t>
      </w:r>
    </w:p>
    <w:sectPr>
      <w:headerReference w:type="default" r:id="rId4"/>
      <w:footnotePr>
        <w:numFmt w:val="decimal"/>
      </w:footnotePr>
      <w:type w:val="nextPage"/>
      <w:pgSz w:w="12240" w:h="15840"/>
      <w:pgMar w:left="1440" w:right="1440" w:gutter="0" w:header="720" w:top="229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Arial">
    <w:charset w:val="00"/>
    <w:family w:val="roman"/>
    <w:pitch w:val="variable"/>
  </w:font>
  <w:font w:name="Segoe UI">
    <w:charset w:val="00"/>
    <w:family w:val="roman"/>
    <w:pitch w:val="variable"/>
  </w:font>
  <w:font w:name="Carlito">
    <w:altName w:val="Calibri"/>
    <w:charset w:val="00"/>
    <w:family w:val="roman"/>
    <w:pitch w:val="variable"/>
  </w:font>
  <w:font w:name="Liberation Sans">
    <w:altName w:val="Arial"/>
    <w:charset w:val="00"/>
    <w:family w:val="swiss"/>
    <w:pitch w:val="variable"/>
  </w:font>
  <w:font w:name="MS Gothic">
    <w:charset w:val="00"/>
    <w:family w:val="roman"/>
    <w:pitch w:val="variable"/>
  </w:font>
  <w:font w:name="Garamond">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rFonts w:ascii="Calibri" w:hAnsi="Calibri" w:cs="Calibri" w:asciiTheme="minorHAnsi" w:cstheme="minorHAnsi" w:hAnsiTheme="minorHAnsi"/>
          <w:sz w:val="16"/>
          <w:szCs w:val="16"/>
        </w:rPr>
      </w:pPr>
      <w:r>
        <w:rPr>
          <w:rStyle w:val="Caratterinotaapidipagina"/>
        </w:rPr>
        <w:footnoteRef/>
      </w:r>
      <w:r>
        <w:rPr/>
        <w:t xml:space="preserve"> </w:t>
      </w:r>
      <w:r>
        <w:rPr>
          <w:rFonts w:cs="Calibri" w:ascii="Calibri" w:hAnsi="Calibri" w:asciiTheme="minorHAnsi" w:cstheme="minorHAnsi" w:hAnsiTheme="minorHAnsi"/>
          <w:sz w:val="16"/>
          <w:szCs w:val="16"/>
        </w:rPr>
        <w:t xml:space="preserve">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 Inoltre, i cittadini di paesi extra UE non possono utilizzare la loro tessera TEAM per cure mediche in Danimarca, Islanda, Liechtenstein, Norvegia e Svizzera, a meno che non siano rifugiati che risiedono in un paese membro dell'UE o che non siano coperti in quanto familiari di un cittadino dell'UE (si veda anche </w:t>
      </w:r>
      <w:hyperlink r:id="rId1" w:tgtFrame="https://ec.europa.eu/social/main.jsp?catid=559&amp;langid=it">
        <w:r>
          <w:rPr>
            <w:rStyle w:val="CollegamentoInternet"/>
            <w:rFonts w:cs="Calibri" w:ascii="Calibri" w:hAnsi="Calibri" w:asciiTheme="minorHAnsi" w:cstheme="minorHAnsi" w:hAnsiTheme="minorHAnsi"/>
            <w:sz w:val="16"/>
            <w:szCs w:val="16"/>
          </w:rPr>
          <w:t>https://ec.europa.eu/social/main.jsp?catId=559&amp;langId=it</w:t>
        </w:r>
      </w:hyperlink>
      <w:r>
        <w:rPr>
          <w:rFonts w:cs="Calibri" w:ascii="Calibri" w:hAnsi="Calibri" w:asciiTheme="minorHAnsi" w:cstheme="minorHAnsi" w:hAnsiTheme="minorHAnsi"/>
          <w:sz w:val="16"/>
          <w:szCs w:val="16"/>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anchor behindDoc="1" distT="0" distB="0" distL="114300" distR="114300" simplePos="0" locked="0" layoutInCell="0" allowOverlap="1" relativeHeight="4">
          <wp:simplePos x="0" y="0"/>
          <wp:positionH relativeFrom="column">
            <wp:posOffset>22860</wp:posOffset>
          </wp:positionH>
          <wp:positionV relativeFrom="paragraph">
            <wp:posOffset>-91440</wp:posOffset>
          </wp:positionV>
          <wp:extent cx="792480" cy="792480"/>
          <wp:effectExtent l="0" t="0" r="0" b="0"/>
          <wp:wrapSquare wrapText="bothSides"/>
          <wp:docPr id="1" name="Immagine 19"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Immagine2"/>
                  <pic:cNvPicPr>
                    <a:picLocks noChangeAspect="1" noChangeArrowheads="1"/>
                  </pic:cNvPicPr>
                </pic:nvPicPr>
                <pic:blipFill>
                  <a:blip r:embed="rId1"/>
                  <a:stretch>
                    <a:fillRect/>
                  </a:stretch>
                </pic:blipFill>
                <pic:spPr bwMode="auto">
                  <a:xfrm>
                    <a:off x="0" y="0"/>
                    <a:ext cx="792480" cy="792480"/>
                  </a:xfrm>
                  <a:prstGeom prst="rect">
                    <a:avLst/>
                  </a:prstGeom>
                </pic:spPr>
              </pic:pic>
            </a:graphicData>
          </a:graphic>
        </wp:anchor>
      </w:drawing>
      <mc:AlternateContent>
        <mc:Choice Requires="wps">
          <w:drawing>
            <wp:anchor behindDoc="1" distT="50165" distB="45720" distL="118745" distR="118745" simplePos="0" locked="0" layoutInCell="0" allowOverlap="1" relativeHeight="9" wp14:anchorId="0B07C504">
              <wp:simplePos x="0" y="0"/>
              <wp:positionH relativeFrom="column">
                <wp:posOffset>937260</wp:posOffset>
              </wp:positionH>
              <wp:positionV relativeFrom="paragraph">
                <wp:posOffset>2540</wp:posOffset>
              </wp:positionV>
              <wp:extent cx="2648585" cy="682625"/>
              <wp:effectExtent l="0" t="0" r="0" b="7620"/>
              <wp:wrapSquare wrapText="bothSides"/>
              <wp:docPr id="2" name="Casella di testo 2"/>
              <a:graphic xmlns:a="http://schemas.openxmlformats.org/drawingml/2006/main">
                <a:graphicData uri="http://schemas.microsoft.com/office/word/2010/wordprocessingShape">
                  <wps:wsp>
                    <wps:cNvSpPr/>
                    <wps:spPr>
                      <a:xfrm>
                        <a:off x="0" y="0"/>
                        <a:ext cx="2647800" cy="681840"/>
                      </a:xfrm>
                      <a:prstGeom prst="rect">
                        <a:avLst/>
                      </a:prstGeom>
                      <a:solidFill>
                        <a:srgbClr val="ffffff"/>
                      </a:solidFill>
                      <a:ln w="9525">
                        <a:noFill/>
                      </a:ln>
                    </wps:spPr>
                    <wps:style>
                      <a:lnRef idx="0"/>
                      <a:fillRef idx="0"/>
                      <a:effectRef idx="0"/>
                      <a:fontRef idx="minor"/>
                    </wps:style>
                    <wps:txbx>
                      <w:txbxContent>
                        <w:p>
                          <w:pPr>
                            <w:pStyle w:val="Contenutocornice"/>
                            <w:spacing w:lineRule="auto" w:line="276" w:before="120" w:after="0"/>
                            <w:jc w:val="center"/>
                            <w:rPr>
                              <w:rFonts w:ascii="Garamond" w:hAnsi="Garamond"/>
                              <w:b/>
                              <w:b/>
                              <w:bCs/>
                              <w:color w:val="002060"/>
                              <w:sz w:val="28"/>
                              <w:szCs w:val="28"/>
                            </w:rPr>
                          </w:pPr>
                          <w:r>
                            <w:rPr>
                              <w:rFonts w:ascii="Garamond" w:hAnsi="Garamond"/>
                              <w:b/>
                              <w:bCs/>
                              <w:color w:val="002060"/>
                              <w:sz w:val="28"/>
                              <w:szCs w:val="28"/>
                            </w:rPr>
                            <w:t>UNIVERSITA’ DEGLI STUDI</w:t>
                          </w:r>
                        </w:p>
                        <w:p>
                          <w:pPr>
                            <w:pStyle w:val="Contenutocornice"/>
                            <w:spacing w:lineRule="auto" w:line="276"/>
                            <w:jc w:val="center"/>
                            <w:rPr>
                              <w:rFonts w:ascii="Garamond" w:hAnsi="Garamond"/>
                              <w:b/>
                              <w:b/>
                              <w:bCs/>
                              <w:color w:val="002060"/>
                              <w:sz w:val="28"/>
                              <w:szCs w:val="28"/>
                            </w:rPr>
                          </w:pPr>
                          <w:r>
                            <w:rPr>
                              <w:rFonts w:ascii="Garamond" w:hAnsi="Garamond"/>
                              <w:b/>
                              <w:bCs/>
                              <w:color w:val="002060"/>
                              <w:sz w:val="28"/>
                              <w:szCs w:val="28"/>
                            </w:rPr>
                            <w:t>DI CAGLIARI</w:t>
                          </w:r>
                        </w:p>
                      </w:txbxContent>
                    </wps:txbx>
                    <wps:bodyPr anchor="t">
                      <a:spAutoFit/>
                    </wps:bodyPr>
                  </wps:wsp>
                </a:graphicData>
              </a:graphic>
              <wp14:sizeRelV relativeFrom="margin">
                <wp14:pctHeight>20000</wp14:pctHeight>
              </wp14:sizeRelV>
            </wp:anchor>
          </w:drawing>
        </mc:Choice>
        <mc:Fallback>
          <w:pict>
            <v:rect id="shape_0" ID="Casella di testo 2" path="m0,0l-2147483645,0l-2147483645,-2147483646l0,-2147483646xe" fillcolor="white" stroked="f" o:allowincell="f" style="position:absolute;margin-left:73.8pt;margin-top:0.2pt;width:208.45pt;height:53.65pt;mso-wrap-style:square;v-text-anchor:top" wp14:anchorId="0B07C504">
              <v:fill o:detectmouseclick="t" type="solid" color2="black"/>
              <v:stroke color="#3465a4" weight="9360" joinstyle="miter" endcap="flat"/>
              <v:textbox>
                <w:txbxContent>
                  <w:p>
                    <w:pPr>
                      <w:pStyle w:val="Contenutocornice"/>
                      <w:spacing w:lineRule="auto" w:line="276" w:before="120" w:after="0"/>
                      <w:jc w:val="center"/>
                      <w:rPr>
                        <w:rFonts w:ascii="Garamond" w:hAnsi="Garamond"/>
                        <w:b/>
                        <w:b/>
                        <w:bCs/>
                        <w:color w:val="002060"/>
                        <w:sz w:val="28"/>
                        <w:szCs w:val="28"/>
                      </w:rPr>
                    </w:pPr>
                    <w:r>
                      <w:rPr>
                        <w:rFonts w:ascii="Garamond" w:hAnsi="Garamond"/>
                        <w:b/>
                        <w:bCs/>
                        <w:color w:val="002060"/>
                        <w:sz w:val="28"/>
                        <w:szCs w:val="28"/>
                      </w:rPr>
                      <w:t>UNIVERSITA’ DEGLI STUDI</w:t>
                    </w:r>
                  </w:p>
                  <w:p>
                    <w:pPr>
                      <w:pStyle w:val="Contenutocornice"/>
                      <w:spacing w:lineRule="auto" w:line="276"/>
                      <w:jc w:val="center"/>
                      <w:rPr>
                        <w:rFonts w:ascii="Garamond" w:hAnsi="Garamond"/>
                        <w:b/>
                        <w:b/>
                        <w:bCs/>
                        <w:color w:val="002060"/>
                        <w:sz w:val="28"/>
                        <w:szCs w:val="28"/>
                      </w:rPr>
                    </w:pPr>
                    <w:r>
                      <w:rPr>
                        <w:rFonts w:ascii="Garamond" w:hAnsi="Garamond"/>
                        <w:b/>
                        <w:bCs/>
                        <w:color w:val="002060"/>
                        <w:sz w:val="28"/>
                        <w:szCs w:val="28"/>
                      </w:rPr>
                      <w:t>DI CAGLIARI</w:t>
                    </w:r>
                  </w:p>
                </w:txbxContent>
              </v:textbox>
              <w10:wrap type="square"/>
            </v:rect>
          </w:pict>
        </mc:Fallback>
      </mc:AlternateConten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0400"/>
    <w:pPr>
      <w:widowControl/>
      <w:bidi w:val="0"/>
      <w:spacing w:lineRule="auto" w:line="360" w:before="120" w:after="0"/>
      <w:jc w:val="left"/>
    </w:pPr>
    <w:rPr>
      <w:rFonts w:ascii="Trebuchet MS" w:hAnsi="Trebuchet MS" w:eastAsia="Times New Roman" w:cs="Times New Roman"/>
      <w:color w:val="auto"/>
      <w:kern w:val="0"/>
      <w:sz w:val="22"/>
      <w:szCs w:val="20"/>
      <w:lang w:val="it-IT" w:eastAsia="it-IT" w:bidi="ar-SA"/>
    </w:rPr>
  </w:style>
  <w:style w:type="paragraph" w:styleId="Titolo1">
    <w:name w:val="Heading 1"/>
    <w:basedOn w:val="Normal"/>
    <w:link w:val="Titolo1Carattere"/>
    <w:uiPriority w:val="1"/>
    <w:qFormat/>
    <w:rsid w:val="002b6ae0"/>
    <w:pPr>
      <w:widowControl w:val="false"/>
      <w:spacing w:lineRule="auto" w:line="240"/>
      <w:ind w:left="458" w:hanging="245"/>
      <w:jc w:val="both"/>
      <w:outlineLvl w:val="0"/>
    </w:pPr>
    <w:rPr>
      <w:rFonts w:ascii="Arial" w:hAnsi="Arial" w:eastAsia="Arial" w:cs="Arial"/>
      <w:b/>
      <w:bCs/>
      <w:szCs w:val="22"/>
      <w:lang w:eastAsia="en-US"/>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34f5c"/>
    <w:rPr>
      <w:b/>
      <w:bCs/>
    </w:rPr>
  </w:style>
  <w:style w:type="character" w:styleId="TestofumettoCarattere" w:customStyle="1">
    <w:name w:val="Testo fumetto Carattere"/>
    <w:basedOn w:val="DefaultParagraphFont"/>
    <w:link w:val="Testofumetto"/>
    <w:uiPriority w:val="99"/>
    <w:semiHidden/>
    <w:qFormat/>
    <w:rsid w:val="00a34f5c"/>
    <w:rPr>
      <w:rFonts w:ascii="Segoe UI" w:hAnsi="Segoe UI" w:cs="Segoe UI"/>
      <w:sz w:val="18"/>
      <w:szCs w:val="18"/>
    </w:rPr>
  </w:style>
  <w:style w:type="character" w:styleId="CollegamentoInternet">
    <w:name w:val="Collegamento Internet"/>
    <w:basedOn w:val="DefaultParagraphFont"/>
    <w:uiPriority w:val="99"/>
    <w:unhideWhenUsed/>
    <w:rsid w:val="00db6431"/>
    <w:rPr>
      <w:strike w:val="false"/>
      <w:dstrike w:val="false"/>
      <w:color w:val="006FB7"/>
      <w:u w:val="none"/>
      <w:effect w:val="none"/>
    </w:rPr>
  </w:style>
  <w:style w:type="character" w:styleId="Enfasi">
    <w:name w:val="Enfasi"/>
    <w:basedOn w:val="DefaultParagraphFont"/>
    <w:uiPriority w:val="20"/>
    <w:qFormat/>
    <w:rsid w:val="00db6431"/>
    <w:rPr>
      <w:i/>
      <w:iCs/>
    </w:rPr>
  </w:style>
  <w:style w:type="character" w:styleId="Titolo1Carattere" w:customStyle="1">
    <w:name w:val="Titolo 1 Carattere"/>
    <w:basedOn w:val="DefaultParagraphFont"/>
    <w:link w:val="Titolo1"/>
    <w:uiPriority w:val="1"/>
    <w:qFormat/>
    <w:rsid w:val="002b6ae0"/>
    <w:rPr>
      <w:rFonts w:ascii="Arial" w:hAnsi="Arial" w:eastAsia="Arial" w:cs="Arial"/>
      <w:b/>
      <w:bCs/>
      <w:lang w:val="it-IT"/>
    </w:rPr>
  </w:style>
  <w:style w:type="character" w:styleId="CorpotestoCarattere" w:customStyle="1">
    <w:name w:val="Corpo testo Carattere"/>
    <w:basedOn w:val="DefaultParagraphFont"/>
    <w:link w:val="Corpotesto"/>
    <w:uiPriority w:val="1"/>
    <w:qFormat/>
    <w:rsid w:val="002b6ae0"/>
    <w:rPr>
      <w:rFonts w:ascii="Carlito" w:hAnsi="Carlito" w:eastAsia="Carlito" w:cs="Carlito"/>
      <w:lang w:val="it-IT"/>
    </w:rPr>
  </w:style>
  <w:style w:type="character" w:styleId="UnresolvedMention">
    <w:name w:val="Unresolved Mention"/>
    <w:basedOn w:val="DefaultParagraphFont"/>
    <w:uiPriority w:val="99"/>
    <w:semiHidden/>
    <w:unhideWhenUsed/>
    <w:qFormat/>
    <w:rsid w:val="001b4089"/>
    <w:rPr>
      <w:color w:val="605E5C"/>
      <w:shd w:fill="E1DFDD" w:val="clear"/>
    </w:rPr>
  </w:style>
  <w:style w:type="character" w:styleId="TestonotaapidipaginaCarattere" w:customStyle="1">
    <w:name w:val="Testo nota a piè di pagina Carattere"/>
    <w:basedOn w:val="DefaultParagraphFont"/>
    <w:link w:val="Testonotaapidipagina"/>
    <w:uiPriority w:val="99"/>
    <w:semiHidden/>
    <w:qFormat/>
    <w:rsid w:val="00c47c30"/>
    <w:rPr>
      <w:rFonts w:ascii="Trebuchet MS" w:hAnsi="Trebuchet MS" w:eastAsia="Times New Roman" w:cs="Times New Roman"/>
      <w:sz w:val="20"/>
      <w:szCs w:val="20"/>
      <w:lang w:val="it-IT" w:eastAsia="it-IT"/>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c47c30"/>
    <w:rPr>
      <w:vertAlign w:val="superscript"/>
    </w:rPr>
  </w:style>
  <w:style w:type="character" w:styleId="IntestazioneCarattere" w:customStyle="1">
    <w:name w:val="Intestazione Carattere"/>
    <w:basedOn w:val="DefaultParagraphFont"/>
    <w:link w:val="Intestazione"/>
    <w:uiPriority w:val="99"/>
    <w:qFormat/>
    <w:rsid w:val="002613ec"/>
    <w:rPr>
      <w:rFonts w:ascii="Trebuchet MS" w:hAnsi="Trebuchet MS" w:eastAsia="Times New Roman" w:cs="Times New Roman"/>
      <w:szCs w:val="20"/>
      <w:lang w:val="it-IT" w:eastAsia="it-IT"/>
    </w:rPr>
  </w:style>
  <w:style w:type="character" w:styleId="PidipaginaCarattere" w:customStyle="1">
    <w:name w:val="Piè di pagina Carattere"/>
    <w:basedOn w:val="DefaultParagraphFont"/>
    <w:link w:val="Pidipagina"/>
    <w:uiPriority w:val="99"/>
    <w:qFormat/>
    <w:rsid w:val="002613ec"/>
    <w:rPr>
      <w:rFonts w:ascii="Trebuchet MS" w:hAnsi="Trebuchet MS" w:eastAsia="Times New Roman" w:cs="Times New Roman"/>
      <w:szCs w:val="20"/>
      <w:lang w:val="it-IT" w:eastAsia="it-I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2b6ae0"/>
    <w:pPr>
      <w:widowControl w:val="false"/>
      <w:spacing w:lineRule="auto" w:line="240" w:before="0" w:after="0"/>
    </w:pPr>
    <w:rPr>
      <w:rFonts w:ascii="Carlito" w:hAnsi="Carlito" w:eastAsia="Carlito" w:cs="Carlito"/>
      <w:szCs w:val="22"/>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BalloonText">
    <w:name w:val="Balloon Text"/>
    <w:basedOn w:val="Normal"/>
    <w:link w:val="TestofumettoCarattere"/>
    <w:uiPriority w:val="99"/>
    <w:semiHidden/>
    <w:unhideWhenUsed/>
    <w:qFormat/>
    <w:rsid w:val="00a34f5c"/>
    <w:pPr>
      <w:spacing w:lineRule="auto" w:line="240"/>
    </w:pPr>
    <w:rPr>
      <w:rFonts w:ascii="Segoe UI" w:hAnsi="Segoe UI" w:cs="Segoe UI"/>
      <w:sz w:val="18"/>
      <w:szCs w:val="18"/>
    </w:rPr>
  </w:style>
  <w:style w:type="paragraph" w:styleId="ListParagraph">
    <w:name w:val="List Paragraph"/>
    <w:basedOn w:val="Normal"/>
    <w:qFormat/>
    <w:rsid w:val="00b20eb5"/>
    <w:pPr>
      <w:spacing w:before="120" w:after="0"/>
      <w:ind w:left="720" w:hanging="0"/>
      <w:contextualSpacing/>
    </w:pPr>
    <w:rPr/>
  </w:style>
  <w:style w:type="paragraph" w:styleId="Notaapidipagina">
    <w:name w:val="Footnote Text"/>
    <w:basedOn w:val="Normal"/>
    <w:link w:val="TestonotaapidipaginaCarattere"/>
    <w:uiPriority w:val="99"/>
    <w:semiHidden/>
    <w:unhideWhenUsed/>
    <w:rsid w:val="00c47c30"/>
    <w:pPr>
      <w:spacing w:lineRule="auto" w:line="240" w:before="0" w:after="0"/>
    </w:pPr>
    <w:rPr>
      <w:sz w:val="20"/>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613ec"/>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2613ec"/>
    <w:pPr>
      <w:tabs>
        <w:tab w:val="clear" w:pos="720"/>
        <w:tab w:val="center" w:pos="4819" w:leader="none"/>
        <w:tab w:val="right" w:pos="9638" w:leader="none"/>
      </w:tabs>
      <w:spacing w:lineRule="auto" w:line="240" w:before="0" w:after="0"/>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iaggiaresicuri.it/" TargetMode="External"/><Relationship Id="rId3" Type="http://schemas.openxmlformats.org/officeDocument/2006/relationships/hyperlink" Target="https://www.dovesiamonelmondo.it/home.html" TargetMode="External"/><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ec.europa.eu/social/main.jsp?catId=559&amp;langId=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9B69-FFF8-4C7B-AAB2-D68C19C9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LibreOffice/7.2.5.2$Windows_X86_64 LibreOffice_project/499f9727c189e6ef3471021d6132d4c694f357e5</Application>
  <AppVersion>15.0000</AppVersion>
  <Pages>2</Pages>
  <Words>744</Words>
  <Characters>5082</Characters>
  <CharactersWithSpaces>5831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2021-02-12T10:36:00Z</dcterms:created>
  <dc:creator>Bilezikian, John P.</dc:creator>
  <dc:description/>
  <dc:language>it-IT</dc:language>
  <cp:lastModifiedBy>Vanessa Carboni</cp:lastModifiedBy>
  <cp:lastPrinted>2020-08-17T22:27:00Z</cp:lastPrinted>
  <dcterms:modified xsi:type="dcterms:W3CDTF">2021-02-12T11:05:00Z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